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2019年清华大学工业工程系毕业生就业报告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2019年清华大学工业工程系总毕业生人数104人（此人数指参加就业派遣同学，未包含在职研究生、国际学生与港澳台学生），毕业生去向统计如下。</w:t>
      </w:r>
    </w:p>
    <w:p>
      <w:pPr>
        <w:pStyle w:val="17"/>
        <w:numPr>
          <w:ilvl w:val="0"/>
          <w:numId w:val="1"/>
        </w:numPr>
        <w:spacing w:before="156" w:beforeLines="50" w:line="360" w:lineRule="auto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/>
          <w:b/>
          <w:sz w:val="24"/>
        </w:rPr>
        <w:t>就业率与毕业去向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2019届本科毕业生人数为51人，就业率</w:t>
      </w:r>
      <w:bookmarkStart w:id="0" w:name="OLE_LINK11"/>
      <w:bookmarkStart w:id="1" w:name="OLE_LINK10"/>
      <w:r>
        <w:rPr>
          <w:rFonts w:hint="eastAsia" w:ascii="Times New Roman" w:hAnsi="Times New Roman" w:eastAsia="宋体" w:cs="Times New Roman"/>
          <w:sz w:val="24"/>
          <w:szCs w:val="24"/>
        </w:rPr>
        <w:t>为</w:t>
      </w:r>
      <w:bookmarkEnd w:id="0"/>
      <w:bookmarkEnd w:id="1"/>
      <w:r>
        <w:rPr>
          <w:rFonts w:hint="eastAsia" w:ascii="Times New Roman" w:hAnsi="Times New Roman" w:eastAsia="宋体" w:cs="Times New Roman"/>
          <w:sz w:val="24"/>
          <w:szCs w:val="24"/>
        </w:rPr>
        <w:t>100%。其中国内深造比例为49%，国际深造比例为43.1%，本科毕业生深造比例达92.1%；其他4人完成就业，其就业行业主要包括信息行业、公共管理部门和教育，包括中共陕西省委组织部、中国民航信息网络股份有限公司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2019年硕士毕业生人数为38人，全部完成就业，就业率为100%，就业行业主要为信息行业、制造业、公共管理部门，代表性单位包括华为技术有限公司、浙江天猫技术有限公司、国家烟草专卖局等。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2019年博士毕业生人数为15人，就业率100%。其中，赴境外做博士后2人，另外13人选择并全部完成就业，就业行业主要为信息行业、制造业和教育，包括华为技术有限公司、浙江天猫技术有限公司、清华大学等。</w:t>
      </w:r>
    </w:p>
    <w:p>
      <w:pPr>
        <w:pStyle w:val="17"/>
        <w:spacing w:before="312" w:beforeLines="100" w:line="360" w:lineRule="auto"/>
        <w:ind w:firstLine="0" w:firstLineChars="0"/>
        <w:jc w:val="center"/>
        <w:rPr>
          <w:b/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 xml:space="preserve">  2019年毕业生去向分布情况</w:t>
      </w:r>
    </w:p>
    <w:tbl>
      <w:tblPr>
        <w:tblStyle w:val="10"/>
        <w:tblW w:w="64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99"/>
        <w:gridCol w:w="997"/>
        <w:gridCol w:w="699"/>
        <w:gridCol w:w="1002"/>
        <w:gridCol w:w="704"/>
        <w:gridCol w:w="9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毕业去向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本科（51人）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硕士（38人）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博士（15人）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比例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10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比例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深造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47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92.1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0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13.3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国内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color w:val="000000"/>
                <w:szCs w:val="21"/>
              </w:rPr>
              <w:t>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szCs w:val="21"/>
              </w:rPr>
              <w:t>4</w:t>
            </w:r>
            <w:r>
              <w:rPr>
                <w:rFonts w:hint="eastAsia" w:ascii="仿宋" w:hAnsi="仿宋" w:eastAsia="仿宋" w:cs="Calibri"/>
                <w:color w:val="000000"/>
                <w:szCs w:val="21"/>
              </w:rPr>
              <w:t>9.0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0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出国（境）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szCs w:val="21"/>
              </w:rPr>
              <w:t>4</w:t>
            </w:r>
            <w:r>
              <w:rPr>
                <w:rFonts w:hint="eastAsia" w:ascii="仿宋" w:hAnsi="仿宋" w:eastAsia="仿宋" w:cs="Calibri"/>
                <w:color w:val="000000"/>
                <w:szCs w:val="21"/>
              </w:rPr>
              <w:t>3.1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13.3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7.9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38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100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86.7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签约就业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5.9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33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86.8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12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80.0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灵活就业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2.0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13.2</w:t>
            </w:r>
            <w:r>
              <w:rPr>
                <w:rFonts w:ascii="仿宋" w:hAnsi="仿宋" w:eastAsia="仿宋" w:cs="Calibri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6.7%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未就业（拟继续深造）</w:t>
            </w:r>
            <w:r>
              <w:rPr>
                <w:rStyle w:val="16"/>
                <w:rFonts w:ascii="仿宋" w:hAnsi="仿宋" w:eastAsia="仿宋"/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0%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0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color w:val="000000"/>
                <w:szCs w:val="21"/>
              </w:rPr>
              <w:t>0</w:t>
            </w:r>
            <w:r>
              <w:rPr>
                <w:rFonts w:ascii="仿宋" w:hAnsi="仿宋" w:eastAsia="仿宋" w:cs="Calibri"/>
                <w:b/>
                <w:color w:val="000000"/>
                <w:szCs w:val="21"/>
              </w:rPr>
              <w:t>%</w:t>
            </w:r>
          </w:p>
        </w:tc>
      </w:tr>
    </w:tbl>
    <w:p>
      <w:pPr>
        <w:ind w:left="248" w:leftChars="118" w:firstLine="420" w:firstLineChars="200"/>
        <w:jc w:val="left"/>
        <w:rPr>
          <w:rFonts w:ascii="仿宋" w:hAnsi="仿宋" w:eastAsia="仿宋"/>
          <w:color w:val="000000"/>
          <w:szCs w:val="21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出国（境）深造</w:t>
      </w:r>
      <w:r>
        <w:rPr>
          <w:b/>
          <w:sz w:val="24"/>
        </w:rPr>
        <w:t>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2019年毕业生中共有24人选择出国（境）</w:t>
      </w:r>
      <w:bookmarkStart w:id="2" w:name="OLE_LINK12"/>
      <w:bookmarkStart w:id="3" w:name="OLE_LINK13"/>
      <w:r>
        <w:rPr>
          <w:rFonts w:hint="eastAsia" w:ascii="Times New Roman" w:hAnsi="Times New Roman" w:eastAsia="宋体" w:cs="Times New Roman"/>
          <w:sz w:val="24"/>
          <w:szCs w:val="24"/>
        </w:rPr>
        <w:t>深造</w:t>
      </w:r>
      <w:bookmarkEnd w:id="2"/>
      <w:bookmarkEnd w:id="3"/>
      <w:r>
        <w:rPr>
          <w:rFonts w:hint="eastAsia" w:ascii="Times New Roman" w:hAnsi="Times New Roman" w:eastAsia="宋体" w:cs="Times New Roman"/>
          <w:sz w:val="24"/>
          <w:szCs w:val="24"/>
        </w:rPr>
        <w:t>（含出国做博士后）。本科</w:t>
      </w:r>
      <w:bookmarkStart w:id="4" w:name="OLE_LINK2"/>
      <w:bookmarkStart w:id="5" w:name="OLE_LINK14"/>
      <w:bookmarkStart w:id="6" w:name="OLE_LINK1"/>
      <w:r>
        <w:rPr>
          <w:rFonts w:hint="eastAsia" w:ascii="Times New Roman" w:hAnsi="Times New Roman" w:eastAsia="宋体" w:cs="Times New Roman"/>
          <w:sz w:val="24"/>
          <w:szCs w:val="24"/>
        </w:rPr>
        <w:t>毕业</w:t>
      </w:r>
      <w:bookmarkEnd w:id="4"/>
      <w:bookmarkEnd w:id="5"/>
      <w:bookmarkEnd w:id="6"/>
      <w:r>
        <w:rPr>
          <w:rFonts w:hint="eastAsia" w:ascii="Times New Roman" w:hAnsi="Times New Roman" w:eastAsia="宋体" w:cs="Times New Roman"/>
          <w:sz w:val="24"/>
          <w:szCs w:val="24"/>
        </w:rPr>
        <w:t>生出国（境）深造比例为43.1%，博士毕业生出国（境）深造比例为13.3%，本年度硕士毕业生没有选择出国（境）深造。表2为2019年毕业生出国（境）深造学校列表。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17"/>
        <w:spacing w:before="312" w:beforeLines="100" w:line="360" w:lineRule="auto"/>
        <w:ind w:firstLine="0" w:firstLineChars="0"/>
        <w:jc w:val="center"/>
        <w:rPr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 xml:space="preserve">  出国（境）深造学校列表（</w:t>
      </w:r>
      <w:r>
        <w:rPr>
          <w:b/>
          <w:sz w:val="24"/>
        </w:rPr>
        <w:t>按拼音排序）</w:t>
      </w:r>
    </w:p>
    <w:tbl>
      <w:tblPr>
        <w:tblStyle w:val="9"/>
        <w:tblW w:w="349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1014"/>
        <w:gridCol w:w="1015"/>
        <w:gridCol w:w="1014"/>
        <w:gridCol w:w="1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83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729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本科</w:t>
            </w:r>
          </w:p>
        </w:tc>
        <w:tc>
          <w:tcPr>
            <w:tcW w:w="730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硕士</w:t>
            </w:r>
          </w:p>
        </w:tc>
        <w:tc>
          <w:tcPr>
            <w:tcW w:w="729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博士</w:t>
            </w:r>
          </w:p>
        </w:tc>
        <w:tc>
          <w:tcPr>
            <w:tcW w:w="730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83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达特茅斯学院</w:t>
            </w:r>
          </w:p>
        </w:tc>
        <w:tc>
          <w:tcPr>
            <w:tcW w:w="729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佛罗里达州立大学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哥伦比亚大学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华盛顿大学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加州大学伯克利分校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卡耐基梅隆大学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伦敦国王学院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08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密歇根大学安娜堡分校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南加州大学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纽约城市大学巴鲁克学院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西北大学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新加坡国立大学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伊利诺伊大学香槟分校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芝加哥大学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佐治亚理工学院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总计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24</w:t>
            </w:r>
          </w:p>
        </w:tc>
      </w:tr>
    </w:tbl>
    <w:p>
      <w:pPr>
        <w:widowControl/>
        <w:jc w:val="left"/>
        <w:rPr>
          <w:b/>
          <w:sz w:val="24"/>
          <w:highlight w:val="yellow"/>
        </w:rPr>
      </w:pPr>
    </w:p>
    <w:p>
      <w:pPr>
        <w:spacing w:before="156" w:beforeLines="50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签约单位性质分布</w:t>
      </w:r>
      <w:r>
        <w:rPr>
          <w:b/>
          <w:sz w:val="24"/>
        </w:rPr>
        <w:t>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2019年，工业工程系毕业生签约单位以企业为主，占签约就业人数的66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7%，其中民营企业签约人数占签约就业总人数的60.4%，博士毕业生高校就业率达50%。具体</w:t>
      </w:r>
      <w:r>
        <w:rPr>
          <w:rFonts w:ascii="Times New Roman" w:hAnsi="Times New Roman" w:eastAsia="宋体" w:cs="Times New Roman"/>
          <w:sz w:val="24"/>
          <w:szCs w:val="24"/>
        </w:rPr>
        <w:t>分布</w:t>
      </w:r>
      <w:r>
        <w:rPr>
          <w:rFonts w:hint="eastAsia" w:ascii="Times New Roman" w:hAnsi="Times New Roman" w:eastAsia="宋体" w:cs="Times New Roman"/>
          <w:sz w:val="24"/>
          <w:szCs w:val="24"/>
        </w:rPr>
        <w:t>见表3。</w:t>
      </w:r>
    </w:p>
    <w:p>
      <w:pPr>
        <w:pStyle w:val="17"/>
        <w:spacing w:before="312" w:beforeLines="100" w:line="360" w:lineRule="auto"/>
        <w:ind w:firstLine="0" w:firstLineChars="0"/>
        <w:jc w:val="center"/>
        <w:rPr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 xml:space="preserve">  签三方就业毕业生的单位性质分布</w:t>
      </w:r>
    </w:p>
    <w:tbl>
      <w:tblPr>
        <w:tblStyle w:val="9"/>
        <w:tblW w:w="478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89"/>
        <w:gridCol w:w="741"/>
        <w:gridCol w:w="1367"/>
        <w:gridCol w:w="741"/>
        <w:gridCol w:w="1358"/>
        <w:gridCol w:w="805"/>
        <w:gridCol w:w="711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00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93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本科（3人）</w:t>
            </w:r>
          </w:p>
        </w:tc>
        <w:tc>
          <w:tcPr>
            <w:tcW w:w="991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硕士（33人）</w:t>
            </w:r>
          </w:p>
        </w:tc>
        <w:tc>
          <w:tcPr>
            <w:tcW w:w="1020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博士（12人）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总计（</w:t>
            </w:r>
            <w:r>
              <w:rPr>
                <w:rFonts w:hint="eastAsia" w:ascii="仿宋" w:hAnsi="仿宋" w:eastAsia="仿宋" w:cs="Times New Roman"/>
                <w:b/>
                <w:kern w:val="0"/>
                <w:szCs w:val="21"/>
              </w:rPr>
              <w:t>48</w:t>
            </w: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00" w:type="pct"/>
            <w:vMerge w:val="continue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4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76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国有企业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489" w:type="pct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548" w:type="pct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576" w:type="pct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民营企业</w:t>
            </w:r>
          </w:p>
        </w:tc>
        <w:tc>
          <w:tcPr>
            <w:tcW w:w="0" w:type="auto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489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548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72.7%</w:t>
            </w:r>
          </w:p>
        </w:tc>
        <w:tc>
          <w:tcPr>
            <w:tcW w:w="0" w:type="auto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576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41.7%</w:t>
            </w:r>
          </w:p>
        </w:tc>
        <w:tc>
          <w:tcPr>
            <w:tcW w:w="0" w:type="auto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外资企业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科研单位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6.1%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8.3%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党政机关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33.3%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15.1%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高等院校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中初等教育单位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489" w:type="pct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33.3%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548" w:type="pct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576" w:type="pct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0.0%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2.0%</w:t>
            </w:r>
          </w:p>
        </w:tc>
      </w:tr>
    </w:tbl>
    <w:p/>
    <w:p>
      <w:pPr>
        <w:spacing w:before="156" w:beforeLines="50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签约单位行业分布</w:t>
      </w:r>
      <w:r>
        <w:rPr>
          <w:b/>
          <w:sz w:val="24"/>
        </w:rPr>
        <w:t>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从单位所属行业来看，毕业生就业人数较多的行业主要包括信息行业、教育、制造业、公共管理、科学研究和技术服务业、金融业等，详见表4。</w:t>
      </w:r>
    </w:p>
    <w:p>
      <w:pPr>
        <w:pStyle w:val="17"/>
        <w:spacing w:before="312" w:beforeLines="100" w:line="360" w:lineRule="auto"/>
        <w:ind w:firstLine="0" w:firstLineChars="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 xml:space="preserve"> </w:t>
      </w:r>
      <w:r>
        <w:rPr>
          <w:rFonts w:hint="eastAsia" w:asciiTheme="minorEastAsia" w:hAnsiTheme="minorEastAsia"/>
          <w:b/>
          <w:sz w:val="24"/>
        </w:rPr>
        <w:t xml:space="preserve"> </w:t>
      </w:r>
      <w:r>
        <w:rPr>
          <w:rFonts w:hint="eastAsia"/>
          <w:b/>
          <w:sz w:val="24"/>
        </w:rPr>
        <w:t>毕业生签三方就业单位行业分布</w:t>
      </w:r>
    </w:p>
    <w:tbl>
      <w:tblPr>
        <w:tblStyle w:val="9"/>
        <w:tblW w:w="485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52"/>
        <w:gridCol w:w="902"/>
        <w:gridCol w:w="654"/>
        <w:gridCol w:w="914"/>
        <w:gridCol w:w="652"/>
        <w:gridCol w:w="927"/>
        <w:gridCol w:w="652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77" w:type="pct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bookmarkStart w:id="7" w:name="_Hlk46238210"/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单位行业</w:t>
            </w:r>
          </w:p>
        </w:tc>
        <w:tc>
          <w:tcPr>
            <w:tcW w:w="803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本科（3人）</w:t>
            </w:r>
          </w:p>
        </w:tc>
        <w:tc>
          <w:tcPr>
            <w:tcW w:w="810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硕士（33人）</w:t>
            </w:r>
          </w:p>
        </w:tc>
        <w:tc>
          <w:tcPr>
            <w:tcW w:w="816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博士（12人）</w:t>
            </w:r>
          </w:p>
        </w:tc>
        <w:tc>
          <w:tcPr>
            <w:tcW w:w="794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总计（48人）</w:t>
            </w:r>
          </w:p>
        </w:tc>
      </w:tr>
      <w:bookmarkEnd w:id="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77" w:type="pct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66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信息传输、软件和信息技术服务业</w:t>
            </w:r>
          </w:p>
        </w:tc>
        <w:tc>
          <w:tcPr>
            <w:tcW w:w="337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33.3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338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15</w:t>
            </w:r>
          </w:p>
        </w:tc>
        <w:tc>
          <w:tcPr>
            <w:tcW w:w="472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45.5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337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4</w:t>
            </w:r>
          </w:p>
        </w:tc>
        <w:tc>
          <w:tcPr>
            <w:tcW w:w="479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33.3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337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41.7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制造业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15.2%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8.3%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教育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33.3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50.0%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14.6%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公共管理、社会保障和社会组织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33.3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12.1%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金融业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9.1%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科学研究和技术服务业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6.1%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8.3%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电器机械及器材制造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能源矿产行业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房地产业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3.0%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专业技术服务业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3.0%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0.0%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2.1%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spacing w:before="156" w:beforeLines="50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五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签约单位省份分布</w:t>
      </w:r>
      <w:r>
        <w:rPr>
          <w:b/>
          <w:sz w:val="24"/>
        </w:rPr>
        <w:t>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2019年毕业生就业地域分布见表5，近七成毕业生选择京外单位就业。</w:t>
      </w:r>
    </w:p>
    <w:p>
      <w:pPr>
        <w:pStyle w:val="17"/>
        <w:spacing w:before="312" w:beforeLines="100" w:line="360" w:lineRule="auto"/>
        <w:ind w:firstLine="0" w:firstLineChars="0"/>
        <w:jc w:val="center"/>
        <w:rPr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>5</w:t>
      </w:r>
      <w:r>
        <w:rPr>
          <w:rFonts w:hint="eastAsia"/>
          <w:b/>
          <w:sz w:val="24"/>
        </w:rPr>
        <w:t xml:space="preserve">  签三方就业毕业生的就业地域分布</w:t>
      </w:r>
    </w:p>
    <w:tbl>
      <w:tblPr>
        <w:tblStyle w:val="9"/>
        <w:tblW w:w="429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24"/>
        <w:gridCol w:w="1069"/>
        <w:gridCol w:w="882"/>
        <w:gridCol w:w="1118"/>
        <w:gridCol w:w="864"/>
        <w:gridCol w:w="1137"/>
        <w:gridCol w:w="760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6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107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本科（3人）</w:t>
            </w:r>
          </w:p>
        </w:tc>
        <w:tc>
          <w:tcPr>
            <w:tcW w:w="1170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硕士（33人）</w:t>
            </w:r>
          </w:p>
        </w:tc>
        <w:tc>
          <w:tcPr>
            <w:tcW w:w="1170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博士（12人）</w:t>
            </w:r>
          </w:p>
        </w:tc>
        <w:tc>
          <w:tcPr>
            <w:tcW w:w="1047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总计（48人）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1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"javascript:doView('bk','11');"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33.3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"javascript:doView('ss','11');"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7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21.2%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58.3%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"javascript:doView('','11');"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15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"javascript:doView('bk','33');"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"javascript:doView('ss','33');"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8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24.2%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16.7%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"javascript:doView('','33');"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"javascript:doView('bk','44');"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"javascript:doView('ss','44');"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30.3%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"javascript:doView('bs','44');"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"javascript:doView('','44');"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"javascript:doView('bk','31');"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"javascript:doView('ss','31');"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3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9.1%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16.7%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10.4%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"javascript:doView('bk','32');"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"javascript:doView('ss','32');"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2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6.1%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"javascript:doView('bs','32');"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8.3%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"javascript:doView('','32');"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3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"javascript:doView('bk','42');"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"javascript:doView('ss','42');"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2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6.1%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"javascript:doView('bs','42');"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"javascript:doView('','42');"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2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"javascript:doView('bk','13');"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"javascript:doView('ss','13');"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3.0%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"javascript:doView('bs','13');"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"javascript:doView('','13');"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"javascript:doView('bk','43');"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33.3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"javascript:doView('ss','43');"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"javascript:doView('bs','43');"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"javascript:doView('','43');"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"javascript:doView('bk','61');"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33.</w:t>
            </w:r>
            <w:r>
              <w:rPr>
                <w:rFonts w:hint="eastAsia" w:ascii="仿宋" w:hAnsi="仿宋" w:eastAsia="仿宋" w:cs="Times New Roman"/>
                <w:color w:val="000000"/>
                <w:lang w:val="en-US" w:eastAsia="zh-CN"/>
              </w:rPr>
              <w:t>3</w:t>
            </w:r>
            <w:r>
              <w:rPr>
                <w:rFonts w:ascii="仿宋" w:hAnsi="仿宋" w:eastAsia="仿宋" w:cs="Times New Roman"/>
                <w:color w:val="000000"/>
              </w:rPr>
              <w:t>%</w:t>
            </w: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"javascript:doView('ss','61');"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"javascript:doView('bs','61');"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0.0%</w:t>
            </w:r>
          </w:p>
        </w:tc>
        <w:tc>
          <w:tcPr>
            <w:tcW w:w="445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fldChar w:fldCharType="begin"/>
            </w:r>
            <w:r>
              <w:instrText xml:space="preserve"> HYPERLINK "javascript:doView('','61');"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t>1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2.1%</w:t>
            </w:r>
          </w:p>
        </w:tc>
      </w:tr>
    </w:tbl>
    <w:p/>
    <w:p>
      <w:pPr>
        <w:spacing w:before="156" w:beforeLines="50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签约单位</w:t>
      </w:r>
      <w:r>
        <w:rPr>
          <w:b/>
          <w:sz w:val="24"/>
        </w:rPr>
        <w:t>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2019年毕业生签约单位完整列表见表6。</w:t>
      </w:r>
    </w:p>
    <w:p>
      <w:pPr>
        <w:pStyle w:val="17"/>
        <w:spacing w:before="312" w:beforeLines="100" w:line="360" w:lineRule="auto"/>
        <w:ind w:firstLine="0" w:firstLineChars="0"/>
        <w:jc w:val="center"/>
        <w:rPr>
          <w:rFonts w:eastAsia="仿宋_GB2312"/>
          <w:sz w:val="20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>6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  <w:lang w:val="en-US" w:eastAsia="zh-CN"/>
        </w:rPr>
        <w:t>年</w:t>
      </w:r>
      <w:bookmarkStart w:id="8" w:name="_GoBack"/>
      <w:bookmarkEnd w:id="8"/>
      <w:r>
        <w:rPr>
          <w:rFonts w:hint="eastAsia"/>
          <w:b/>
          <w:sz w:val="24"/>
        </w:rPr>
        <w:t>毕业生签三方就业单位</w:t>
      </w:r>
    </w:p>
    <w:tbl>
      <w:tblPr>
        <w:tblStyle w:val="9"/>
        <w:tblW w:w="835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5"/>
        <w:gridCol w:w="1080"/>
        <w:gridCol w:w="1083"/>
        <w:gridCol w:w="1083"/>
        <w:gridCol w:w="1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华为技术有限公司</w:t>
            </w:r>
          </w:p>
        </w:tc>
        <w:tc>
          <w:tcPr>
            <w:tcW w:w="1080" w:type="dxa"/>
            <w:tcBorders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083" w:type="dxa"/>
            <w:tcBorders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浙江天猫技术有限公司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清华大学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上海华为技术有限公司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北京京东世纪贸易有限公司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高德软件有限公司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广发证券股份有限公司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国家烟草专卖局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汉海信息技术（上海）有限公司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杭州海康威视数字技术股份有限公司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恒大地产集团有限公司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吉首市民族中学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江南大学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江苏满运软件科技有限公司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金瓜子科技发展（北京）有限公司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浪潮（北京）电子信息产业有限公司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三快云在线（北京）科技有限公司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上海大学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上海奇虎科技有限公司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深圳市优必选科技股份有限公司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顺丰科技有限公司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苏宁易购集团股份有限公司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淘宝（中国）软件有限公司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腾讯科技（深圳）有限公司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心怡科技股份有限公司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邮政科学研究规划院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招商银行股份有限公司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浙江菜鸟供应链管理有限公司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中共杭州市江干区委组织部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中共河北省委组织部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中共陕西省委组织部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中共武汉市委组织部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中国电子科技集团公司电子科学研究院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中国航空综合技术研究所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中国联合工程有限公司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中国民航信息网络股份有限公司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中国人民大学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nil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中国人民银行武汉分行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中国五矿集团有限公司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A4E"/>
    <w:multiLevelType w:val="multilevel"/>
    <w:tmpl w:val="11E11A4E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1"/>
    <w:rsid w:val="00021BE3"/>
    <w:rsid w:val="00045AE7"/>
    <w:rsid w:val="00047F02"/>
    <w:rsid w:val="00075BD1"/>
    <w:rsid w:val="00075D7F"/>
    <w:rsid w:val="000B1297"/>
    <w:rsid w:val="000F1BB3"/>
    <w:rsid w:val="001048B8"/>
    <w:rsid w:val="00111801"/>
    <w:rsid w:val="0011488C"/>
    <w:rsid w:val="0011796C"/>
    <w:rsid w:val="00146AE1"/>
    <w:rsid w:val="001A034D"/>
    <w:rsid w:val="001B577C"/>
    <w:rsid w:val="001C0016"/>
    <w:rsid w:val="00202FB7"/>
    <w:rsid w:val="00211CB0"/>
    <w:rsid w:val="00224005"/>
    <w:rsid w:val="00252B3B"/>
    <w:rsid w:val="00263BC4"/>
    <w:rsid w:val="00273161"/>
    <w:rsid w:val="00275EC4"/>
    <w:rsid w:val="002C381C"/>
    <w:rsid w:val="002E272D"/>
    <w:rsid w:val="00325A10"/>
    <w:rsid w:val="003A1C98"/>
    <w:rsid w:val="003A3B53"/>
    <w:rsid w:val="00407B07"/>
    <w:rsid w:val="00424525"/>
    <w:rsid w:val="0042564E"/>
    <w:rsid w:val="00487906"/>
    <w:rsid w:val="00487AB8"/>
    <w:rsid w:val="004A2D97"/>
    <w:rsid w:val="004C0E6A"/>
    <w:rsid w:val="004C235D"/>
    <w:rsid w:val="004F33A8"/>
    <w:rsid w:val="00510810"/>
    <w:rsid w:val="005353CD"/>
    <w:rsid w:val="005972A0"/>
    <w:rsid w:val="005E496F"/>
    <w:rsid w:val="005E4ED7"/>
    <w:rsid w:val="005E59CF"/>
    <w:rsid w:val="005F5F8F"/>
    <w:rsid w:val="00602F0D"/>
    <w:rsid w:val="00610FA5"/>
    <w:rsid w:val="00615034"/>
    <w:rsid w:val="0061662F"/>
    <w:rsid w:val="00617FAC"/>
    <w:rsid w:val="00627885"/>
    <w:rsid w:val="00630BF1"/>
    <w:rsid w:val="00633D0B"/>
    <w:rsid w:val="00642A0E"/>
    <w:rsid w:val="0064694B"/>
    <w:rsid w:val="006674E2"/>
    <w:rsid w:val="0068104E"/>
    <w:rsid w:val="006A3539"/>
    <w:rsid w:val="006C222A"/>
    <w:rsid w:val="006D4EC5"/>
    <w:rsid w:val="00741FBF"/>
    <w:rsid w:val="007A509F"/>
    <w:rsid w:val="007C101E"/>
    <w:rsid w:val="007D75FF"/>
    <w:rsid w:val="007E74E9"/>
    <w:rsid w:val="007F5C5F"/>
    <w:rsid w:val="00807A2B"/>
    <w:rsid w:val="0081347F"/>
    <w:rsid w:val="008247C3"/>
    <w:rsid w:val="0083276A"/>
    <w:rsid w:val="00834ECC"/>
    <w:rsid w:val="008439B4"/>
    <w:rsid w:val="00885763"/>
    <w:rsid w:val="00897E88"/>
    <w:rsid w:val="008C11E6"/>
    <w:rsid w:val="008D0680"/>
    <w:rsid w:val="008F5B35"/>
    <w:rsid w:val="00932E4C"/>
    <w:rsid w:val="00946D33"/>
    <w:rsid w:val="00961C95"/>
    <w:rsid w:val="00977929"/>
    <w:rsid w:val="009B1D5C"/>
    <w:rsid w:val="009D7434"/>
    <w:rsid w:val="009E46CE"/>
    <w:rsid w:val="009E5E45"/>
    <w:rsid w:val="00A03BCA"/>
    <w:rsid w:val="00A2642F"/>
    <w:rsid w:val="00A36386"/>
    <w:rsid w:val="00A80FCB"/>
    <w:rsid w:val="00A90304"/>
    <w:rsid w:val="00AB189A"/>
    <w:rsid w:val="00AD1ABF"/>
    <w:rsid w:val="00AD1BFD"/>
    <w:rsid w:val="00AD49F2"/>
    <w:rsid w:val="00B01677"/>
    <w:rsid w:val="00B01CD8"/>
    <w:rsid w:val="00B229BD"/>
    <w:rsid w:val="00B2327B"/>
    <w:rsid w:val="00B247A0"/>
    <w:rsid w:val="00B30B0B"/>
    <w:rsid w:val="00BA416D"/>
    <w:rsid w:val="00BF23BC"/>
    <w:rsid w:val="00C20E18"/>
    <w:rsid w:val="00C33BBE"/>
    <w:rsid w:val="00C4688E"/>
    <w:rsid w:val="00CB700E"/>
    <w:rsid w:val="00CC306D"/>
    <w:rsid w:val="00CC7FDC"/>
    <w:rsid w:val="00D072CF"/>
    <w:rsid w:val="00D3147C"/>
    <w:rsid w:val="00D37E6C"/>
    <w:rsid w:val="00D50D7F"/>
    <w:rsid w:val="00D5684F"/>
    <w:rsid w:val="00D65B6E"/>
    <w:rsid w:val="00D678B4"/>
    <w:rsid w:val="00D74CFA"/>
    <w:rsid w:val="00D75A16"/>
    <w:rsid w:val="00D75B7E"/>
    <w:rsid w:val="00D86623"/>
    <w:rsid w:val="00DB03ED"/>
    <w:rsid w:val="00DE0E61"/>
    <w:rsid w:val="00DF1F1E"/>
    <w:rsid w:val="00DF242B"/>
    <w:rsid w:val="00DF59BA"/>
    <w:rsid w:val="00E40496"/>
    <w:rsid w:val="00E41FFB"/>
    <w:rsid w:val="00E42B89"/>
    <w:rsid w:val="00E570AE"/>
    <w:rsid w:val="00E82B8A"/>
    <w:rsid w:val="00E85D0C"/>
    <w:rsid w:val="00E862FA"/>
    <w:rsid w:val="00EE09BC"/>
    <w:rsid w:val="00F05406"/>
    <w:rsid w:val="00F06AE8"/>
    <w:rsid w:val="00F45CDE"/>
    <w:rsid w:val="00F61C7B"/>
    <w:rsid w:val="00F65D18"/>
    <w:rsid w:val="00F80DFB"/>
    <w:rsid w:val="00F900D3"/>
    <w:rsid w:val="00FA65BD"/>
    <w:rsid w:val="00FA7848"/>
    <w:rsid w:val="00FE322C"/>
    <w:rsid w:val="00FE5396"/>
    <w:rsid w:val="00FE6719"/>
    <w:rsid w:val="054E35D9"/>
    <w:rsid w:val="05781D06"/>
    <w:rsid w:val="06275AE8"/>
    <w:rsid w:val="067B35C0"/>
    <w:rsid w:val="0817378E"/>
    <w:rsid w:val="082A07C0"/>
    <w:rsid w:val="083B31EA"/>
    <w:rsid w:val="0952567C"/>
    <w:rsid w:val="0A586A77"/>
    <w:rsid w:val="0C852988"/>
    <w:rsid w:val="0DE313DF"/>
    <w:rsid w:val="0F2127EF"/>
    <w:rsid w:val="10181DB5"/>
    <w:rsid w:val="10CB3897"/>
    <w:rsid w:val="10DD7ADE"/>
    <w:rsid w:val="122C69C6"/>
    <w:rsid w:val="13186146"/>
    <w:rsid w:val="13583B76"/>
    <w:rsid w:val="13961A35"/>
    <w:rsid w:val="15EF6F91"/>
    <w:rsid w:val="17930423"/>
    <w:rsid w:val="17EA4ADA"/>
    <w:rsid w:val="1A460B81"/>
    <w:rsid w:val="1AF4761F"/>
    <w:rsid w:val="1B2F1E73"/>
    <w:rsid w:val="1B896E98"/>
    <w:rsid w:val="1C294D5C"/>
    <w:rsid w:val="1CCC713B"/>
    <w:rsid w:val="1DBD2BD1"/>
    <w:rsid w:val="1E9342C3"/>
    <w:rsid w:val="1F555726"/>
    <w:rsid w:val="20352682"/>
    <w:rsid w:val="206844E3"/>
    <w:rsid w:val="2085348F"/>
    <w:rsid w:val="208C0798"/>
    <w:rsid w:val="211E2359"/>
    <w:rsid w:val="2465133C"/>
    <w:rsid w:val="24E50EF8"/>
    <w:rsid w:val="25A11292"/>
    <w:rsid w:val="27A57557"/>
    <w:rsid w:val="27ED2FDD"/>
    <w:rsid w:val="297F1F5B"/>
    <w:rsid w:val="2AB3718A"/>
    <w:rsid w:val="2B8D7EF7"/>
    <w:rsid w:val="2C6C1548"/>
    <w:rsid w:val="2DFE2A48"/>
    <w:rsid w:val="31856635"/>
    <w:rsid w:val="31A44725"/>
    <w:rsid w:val="324E31BC"/>
    <w:rsid w:val="329153B3"/>
    <w:rsid w:val="32C16C34"/>
    <w:rsid w:val="32C95014"/>
    <w:rsid w:val="33E67943"/>
    <w:rsid w:val="33FE2A22"/>
    <w:rsid w:val="346456F9"/>
    <w:rsid w:val="35131C06"/>
    <w:rsid w:val="355161AD"/>
    <w:rsid w:val="3610007F"/>
    <w:rsid w:val="38AA505C"/>
    <w:rsid w:val="3BF375F7"/>
    <w:rsid w:val="3D5207BF"/>
    <w:rsid w:val="3E842241"/>
    <w:rsid w:val="3EA66909"/>
    <w:rsid w:val="3F6B00C9"/>
    <w:rsid w:val="40164E44"/>
    <w:rsid w:val="409C799D"/>
    <w:rsid w:val="40D91D83"/>
    <w:rsid w:val="42A35BB2"/>
    <w:rsid w:val="46704BE9"/>
    <w:rsid w:val="47847299"/>
    <w:rsid w:val="47D80A30"/>
    <w:rsid w:val="484746E4"/>
    <w:rsid w:val="487F2E15"/>
    <w:rsid w:val="48A70434"/>
    <w:rsid w:val="48F17D30"/>
    <w:rsid w:val="495418C4"/>
    <w:rsid w:val="4A0527B2"/>
    <w:rsid w:val="4AB85A4F"/>
    <w:rsid w:val="4C9F4B33"/>
    <w:rsid w:val="4DE960E2"/>
    <w:rsid w:val="4E0117CB"/>
    <w:rsid w:val="4FA43EA8"/>
    <w:rsid w:val="50A061DD"/>
    <w:rsid w:val="51DC769B"/>
    <w:rsid w:val="52687689"/>
    <w:rsid w:val="526A5E20"/>
    <w:rsid w:val="52BE7B4F"/>
    <w:rsid w:val="535279A9"/>
    <w:rsid w:val="53C06DA5"/>
    <w:rsid w:val="53E653A9"/>
    <w:rsid w:val="54C81F26"/>
    <w:rsid w:val="550B6287"/>
    <w:rsid w:val="55733653"/>
    <w:rsid w:val="55806355"/>
    <w:rsid w:val="55CC6D35"/>
    <w:rsid w:val="55E90FBB"/>
    <w:rsid w:val="56B74536"/>
    <w:rsid w:val="56B97519"/>
    <w:rsid w:val="5769125D"/>
    <w:rsid w:val="58D13CFB"/>
    <w:rsid w:val="591D5F3D"/>
    <w:rsid w:val="5AC8686E"/>
    <w:rsid w:val="5CB62CE1"/>
    <w:rsid w:val="5CED3519"/>
    <w:rsid w:val="5D375AF2"/>
    <w:rsid w:val="5D6D79E2"/>
    <w:rsid w:val="5F8F3AE9"/>
    <w:rsid w:val="5FC54FEA"/>
    <w:rsid w:val="60491853"/>
    <w:rsid w:val="60987CF4"/>
    <w:rsid w:val="60C45870"/>
    <w:rsid w:val="63AF3579"/>
    <w:rsid w:val="63DB1F06"/>
    <w:rsid w:val="65C55657"/>
    <w:rsid w:val="66CA1308"/>
    <w:rsid w:val="66D544F0"/>
    <w:rsid w:val="6756694D"/>
    <w:rsid w:val="67BA54E0"/>
    <w:rsid w:val="68682CF1"/>
    <w:rsid w:val="68D42CD1"/>
    <w:rsid w:val="69521F04"/>
    <w:rsid w:val="698B2C36"/>
    <w:rsid w:val="6A9B7A76"/>
    <w:rsid w:val="6CE76923"/>
    <w:rsid w:val="6DBC6896"/>
    <w:rsid w:val="6E8800F3"/>
    <w:rsid w:val="6F59074B"/>
    <w:rsid w:val="6FEB043F"/>
    <w:rsid w:val="6FED2549"/>
    <w:rsid w:val="70C5178A"/>
    <w:rsid w:val="71C82A19"/>
    <w:rsid w:val="71CA6544"/>
    <w:rsid w:val="71F30D26"/>
    <w:rsid w:val="72353080"/>
    <w:rsid w:val="72FC75B9"/>
    <w:rsid w:val="7498651D"/>
    <w:rsid w:val="74BF14F2"/>
    <w:rsid w:val="75191EB8"/>
    <w:rsid w:val="75DB14FA"/>
    <w:rsid w:val="763440EF"/>
    <w:rsid w:val="771F332A"/>
    <w:rsid w:val="776D7D3B"/>
    <w:rsid w:val="78181932"/>
    <w:rsid w:val="787F2EF0"/>
    <w:rsid w:val="79F11F57"/>
    <w:rsid w:val="7A635B2F"/>
    <w:rsid w:val="7AD879FA"/>
    <w:rsid w:val="7BAD0E00"/>
    <w:rsid w:val="7C0613B3"/>
    <w:rsid w:val="7DE96DE4"/>
    <w:rsid w:val="7E53260D"/>
    <w:rsid w:val="7E612AF5"/>
    <w:rsid w:val="7EF565A2"/>
    <w:rsid w:val="7FD0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3">
    <w:name w:val="endnote text"/>
    <w:basedOn w:val="1"/>
    <w:link w:val="27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3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6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脚注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11"/>
    <w:link w:val="5"/>
    <w:uiPriority w:val="99"/>
    <w:rPr>
      <w:sz w:val="18"/>
      <w:szCs w:val="18"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24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25">
    <w:name w:val="xl67"/>
    <w:basedOn w:val="1"/>
    <w:qFormat/>
    <w:uiPriority w:val="0"/>
    <w:pPr>
      <w:widowControl/>
      <w:pBdr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26">
    <w:name w:val="xl68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Cs w:val="21"/>
    </w:rPr>
  </w:style>
  <w:style w:type="character" w:customStyle="1" w:styleId="27">
    <w:name w:val="尾注文本 字符"/>
    <w:basedOn w:val="11"/>
    <w:link w:val="3"/>
    <w:semiHidden/>
    <w:qFormat/>
    <w:uiPriority w:val="99"/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9">
    <w:name w:val="xl63"/>
    <w:basedOn w:val="1"/>
    <w:qFormat/>
    <w:uiPriority w:val="0"/>
    <w:pPr>
      <w:widowControl/>
      <w:pBdr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30">
    <w:name w:val="xl64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Cs w:val="21"/>
    </w:rPr>
  </w:style>
  <w:style w:type="character" w:customStyle="1" w:styleId="31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批注主题 字符"/>
    <w:basedOn w:val="3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CB3C8-DBCB-4396-99D3-5F9675DE9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736</Words>
  <Characters>4199</Characters>
  <Lines>34</Lines>
  <Paragraphs>9</Paragraphs>
  <TotalTime>11</TotalTime>
  <ScaleCrop>false</ScaleCrop>
  <LinksUpToDate>false</LinksUpToDate>
  <CharactersWithSpaces>4926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2020-07-21T10:36:00Z</dcterms:created>
  <dc:creator>liuwj</dc:creator>
  <cp:lastModifiedBy>tourb</cp:lastModifiedBy>
  <dcterms:modified xsi:type="dcterms:W3CDTF">2020-08-17T12:36:59Z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